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bookmarkStart w:id="0" w:name="_Hlk49195146"/>
      <w:r>
        <w:rPr>
          <w:b/>
          <w:bCs/>
          <w:sz w:val="28"/>
          <w:szCs w:val="28"/>
        </w:rPr>
        <w:t xml:space="preserve">Lesson Plan </w:t>
      </w:r>
    </w:p>
    <w:bookmarkStart w:id="1" w:name="_Hlk49195035"/>
    <w:bookmarkStart w:id="2" w:name="_Hlk49256302"/>
    <w:bookmarkEnd w:id="0"/>
    <w:p>
      <w:pPr>
        <w:pStyle w:val="style0"/>
        <w:rPr/>
      </w:pPr>
      <w:r>
        <w:t xml:space="preserve">Assistant Professor of </w:t>
      </w:r>
      <w:r>
        <w:t xml:space="preserve">Sanskrit </w:t>
      </w:r>
    </w:p>
    <w:p>
      <w:pPr>
        <w:pStyle w:val="style0"/>
        <w:rPr/>
      </w:pPr>
      <w:r>
        <w:t xml:space="preserve">Class : </w:t>
      </w:r>
      <w:r>
        <w:t>B.</w:t>
      </w:r>
      <w:r>
        <w:rPr>
          <w:lang w:val="en-US"/>
        </w:rPr>
        <w:t>Sc 2nd 4rth sem</w:t>
      </w:r>
    </w:p>
    <w:bookmarkStart w:id="3" w:name="_Hlk49195085"/>
    <w:bookmarkEnd w:id="1"/>
    <w:bookmarkEnd w:id="2"/>
    <w:p>
      <w:pPr>
        <w:pStyle w:val="style0"/>
        <w:rPr/>
      </w:pPr>
      <w:r>
        <w:t xml:space="preserve">Month : </w:t>
      </w:r>
      <w:r>
        <w:t xml:space="preserve">Jan to </w:t>
      </w:r>
      <w:r>
        <w:t xml:space="preserve">April </w:t>
      </w:r>
      <w:r>
        <w:t>(20</w:t>
      </w:r>
      <w:r>
        <w:t>2</w:t>
      </w:r>
      <w:r>
        <w:t>4</w:t>
      </w:r>
      <w:r>
        <w:t>)</w:t>
      </w:r>
      <w:bookmarkEnd w:id="3"/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</w:t>
            </w:r>
            <w:r>
              <w:t xml:space="preserve">k </w:t>
            </w:r>
            <w:r>
              <w:t xml:space="preserve">January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दण्ड</w:t>
            </w:r>
            <w:r>
              <w:rPr>
                <w:rFonts w:cs="Mangal"/>
                <w:lang w:val="en-US"/>
              </w:rPr>
              <w:t xml:space="preserve">: </w:t>
            </w:r>
            <w:r>
              <w:rPr>
                <w:rFonts w:cs="Mangal"/>
                <w:cs/>
                <w:lang w:val="en-US"/>
              </w:rPr>
              <w:t>शास्त्री प्रजा</w:t>
            </w:r>
            <w:r>
              <w:rPr>
                <w:rFonts w:cs="Mangal"/>
                <w:lang w:val="en-US"/>
              </w:rPr>
              <w:t>:</w:t>
            </w:r>
            <w:r>
              <w:rPr>
                <w:rFonts w:cs="Mangal"/>
                <w:cs/>
                <w:lang w:val="en-US"/>
              </w:rPr>
              <w:t xml:space="preserve"> सर्वा</w:t>
            </w:r>
            <w:r>
              <w:rPr>
                <w:rFonts w:cs="Mangal"/>
                <w:lang w:val="en-US"/>
              </w:rPr>
              <w:t xml:space="preserve"> : के </w:t>
            </w:r>
            <w:r>
              <w:rPr>
                <w:rFonts w:cs="Mangal"/>
                <w:cs/>
                <w:lang w:val="en-US"/>
              </w:rPr>
              <w:t>पद्याशों 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</w:t>
            </w:r>
            <w:r>
              <w:t xml:space="preserve">January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स्थितप्रज्ञस्य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भाषा के पद्याशों 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</w:t>
            </w:r>
            <w:r>
              <w:t xml:space="preserve">January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नीति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सूक्तय</w:t>
            </w:r>
            <w:r>
              <w:rPr>
                <w:rFonts w:cs="Mangal"/>
                <w:lang w:val="en-US"/>
              </w:rPr>
              <w:t xml:space="preserve">: </w:t>
            </w:r>
            <w:r>
              <w:rPr>
                <w:rFonts w:cs="Mangal"/>
                <w:cs/>
                <w:lang w:val="en-US"/>
              </w:rPr>
              <w:t>के पद्याशों की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 xml:space="preserve">4 </w:t>
            </w:r>
            <w:r>
              <w:t xml:space="preserve"> week </w:t>
            </w:r>
            <w:r>
              <w:t xml:space="preserve">January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मैत्री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पुनस्त्वीदृशी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के पद्याशों की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5</w:t>
            </w:r>
            <w:r>
              <w:t xml:space="preserve"> week </w:t>
            </w:r>
            <w:r>
              <w:t xml:space="preserve">January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नाऽशिष्योपदिश्यते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के गद्यांशों की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Ist</w:t>
            </w:r>
            <w:r>
              <w:t xml:space="preserve"> we</w:t>
            </w:r>
            <w:r>
              <w:t xml:space="preserve">ek </w:t>
            </w:r>
            <w:r>
              <w:t xml:space="preserve">February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दुर्जनसंगों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 xml:space="preserve">भयावह </w:t>
            </w:r>
            <w:r>
              <w:rPr>
                <w:rFonts w:cs="Mangal"/>
                <w:lang w:val="en-US"/>
              </w:rPr>
              <w:t xml:space="preserve">: </w:t>
            </w:r>
            <w:r>
              <w:rPr>
                <w:rFonts w:cs="Mangal"/>
                <w:cs/>
                <w:lang w:val="en-US"/>
              </w:rPr>
              <w:t>के गद्यांशों की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</w:t>
            </w:r>
            <w:r>
              <w:t xml:space="preserve">February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पराधिकार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चर्चा परिवर्जयेत्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के गद्यांशों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 xml:space="preserve">3rd week </w:t>
            </w:r>
            <w:r>
              <w:t xml:space="preserve">February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सुन्दोपसुन्दकथा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के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गद्यांशों की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 xml:space="preserve">4th week </w:t>
            </w:r>
            <w:r>
              <w:t xml:space="preserve">February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कुंजर</w:t>
            </w:r>
            <w:r>
              <w:rPr>
                <w:rFonts w:cs="Mangal"/>
                <w:lang w:val="en-US"/>
              </w:rPr>
              <w:t>: प्रलय</w:t>
            </w:r>
            <w:r>
              <w:rPr>
                <w:rFonts w:cs="Mangal"/>
                <w:cs/>
                <w:lang w:val="en-US"/>
              </w:rPr>
              <w:t>ं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गत</w:t>
            </w:r>
            <w:r>
              <w:rPr>
                <w:rFonts w:cs="Mangal"/>
                <w:lang w:val="en-US"/>
              </w:rPr>
              <w:t xml:space="preserve">: के </w:t>
            </w:r>
            <w:r>
              <w:rPr>
                <w:rFonts w:cs="Mangal"/>
                <w:cs/>
                <w:lang w:val="en-US"/>
              </w:rPr>
              <w:t>गद्यांशों की व्याख्या।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Ist</w:t>
            </w:r>
            <w:r>
              <w:t xml:space="preserve"> week </w:t>
            </w:r>
            <w:r>
              <w:t xml:space="preserve">March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पद्य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व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गद्य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भाग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की</w:t>
            </w:r>
            <w:r>
              <w:rPr>
                <w:rFonts w:cs="Mangal"/>
                <w:lang w:val="en-US"/>
              </w:rPr>
              <w:t xml:space="preserve"> </w:t>
            </w:r>
            <w:r>
              <w:rPr>
                <w:rFonts w:cs="Mangal"/>
                <w:cs/>
                <w:lang w:val="en-US"/>
              </w:rPr>
              <w:t>दोहराई।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week of </w:t>
            </w:r>
            <w:r>
              <w:t>March</w:t>
            </w:r>
            <w:r>
              <w:t xml:space="preserve">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शब्द</w:t>
            </w:r>
            <w:r>
              <w:rPr>
                <w:rFonts w:cs="Mangal"/>
                <w:lang w:val="en-US"/>
              </w:rPr>
              <w:t xml:space="preserve"> रूप 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week of </w:t>
            </w:r>
            <w:r>
              <w:t xml:space="preserve">March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week of</w:t>
            </w:r>
            <w:r>
              <w:t xml:space="preserve"> march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शब्द रूपों की मौखिक परीक्षा।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week of March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t xml:space="preserve">23 to 31 Holi </w:t>
            </w:r>
            <w:r>
              <w:t xml:space="preserve">break 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r>
              <w:t xml:space="preserve">week of April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 xml:space="preserve">धातुरूप 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 xml:space="preserve"> week of</w:t>
            </w:r>
            <w:r>
              <w:t xml:space="preserve"> April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r>
              <w:t xml:space="preserve"> week </w:t>
            </w:r>
            <w:r>
              <w:t xml:space="preserve">of April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 xml:space="preserve">अनुवाद 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</w:t>
            </w:r>
          </w:p>
        </w:tc>
      </w:tr>
      <w:tr>
        <w:tblPrEx/>
        <w:trPr/>
        <w:tc>
          <w:tcPr>
            <w:tcW w:w="2689" w:type="dxa"/>
            <w:tcBorders/>
          </w:tcPr>
          <w:p>
            <w:pPr>
              <w:pStyle w:val="style0"/>
              <w:rPr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week of April </w:t>
            </w:r>
          </w:p>
        </w:tc>
        <w:tc>
          <w:tcPr>
            <w:tcW w:w="6327" w:type="dxa"/>
            <w:tcBorders/>
          </w:tcPr>
          <w:p>
            <w:pPr>
              <w:pStyle w:val="style0"/>
              <w:rPr/>
            </w:pPr>
            <w:r>
              <w:rPr>
                <w:rFonts w:cs="Mangal"/>
                <w:cs/>
                <w:lang w:val="en-US"/>
              </w:rPr>
              <w:t>सभी विषयों की दोहराई।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170</Words>
  <Pages>1</Pages>
  <Characters>790</Characters>
  <Application>WPS Office</Application>
  <DocSecurity>0</DocSecurity>
  <Paragraphs>64</Paragraphs>
  <ScaleCrop>false</ScaleCrop>
  <LinksUpToDate>false</LinksUpToDate>
  <CharactersWithSpaces>1010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2024-03-14T05:44:00Z</dcterms:created>
  <dc:creator>varun sehrawat</dc:creator>
  <lastModifiedBy>CPH2119</lastModifiedBy>
  <dcterms:modified xsi:type="dcterms:W3CDTF">2024-03-14T09:09:09Z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77bbdf6c5be14cdfad8e6d07c6c8d0dd</vt:lpwstr>
  </property>
</Properties>
</file>